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1EBD4C" w14:textId="11C03500" w:rsidR="001E58A9" w:rsidRDefault="00433EC9" w:rsidP="008F094E">
      <w:pPr>
        <w:spacing w:line="276" w:lineRule="auto"/>
      </w:pPr>
      <w:r>
        <w:t>State of Fluid</w:t>
      </w:r>
      <w:r w:rsidR="00A871F4">
        <w:t>: A Combination of both p</w:t>
      </w:r>
      <w:r w:rsidR="00567129">
        <w:t xml:space="preserve">roduction and </w:t>
      </w:r>
      <w:r w:rsidR="00784C95">
        <w:t>flow-back</w:t>
      </w:r>
      <w:r w:rsidR="00567129">
        <w:t xml:space="preserve"> water mixed with significant</w:t>
      </w:r>
      <w:r w:rsidR="00A871F4">
        <w:t>ly</w:t>
      </w:r>
      <w:r w:rsidR="00567129">
        <w:t xml:space="preserve"> </w:t>
      </w:r>
      <w:r w:rsidR="00A871F4">
        <w:t xml:space="preserve">nasty </w:t>
      </w:r>
      <w:r w:rsidR="00567129">
        <w:t xml:space="preserve">drill cuttings held in a sealed pond. </w:t>
      </w:r>
    </w:p>
    <w:p w14:paraId="23CF4090" w14:textId="77777777" w:rsidR="00A871F4" w:rsidRDefault="00A871F4" w:rsidP="008F094E">
      <w:pPr>
        <w:spacing w:line="276" w:lineRule="auto"/>
      </w:pPr>
    </w:p>
    <w:p w14:paraId="252A2FEA" w14:textId="3FB9A37A" w:rsidR="00567129" w:rsidRDefault="00A871F4" w:rsidP="008F094E">
      <w:pPr>
        <w:spacing w:line="276" w:lineRule="auto"/>
      </w:pPr>
      <w:r>
        <w:t>Client Expectations:</w:t>
      </w:r>
      <w:r w:rsidR="00567129">
        <w:t xml:space="preserve"> Removal of hydrocarbons significant enough to meet the necessary standards for discharge into public waterways. </w:t>
      </w:r>
    </w:p>
    <w:p w14:paraId="6BC6D2F6" w14:textId="45980C85" w:rsidR="00567129" w:rsidRDefault="00567129" w:rsidP="008F094E">
      <w:pPr>
        <w:spacing w:line="276" w:lineRule="auto"/>
      </w:pPr>
    </w:p>
    <w:p w14:paraId="75252C8B" w14:textId="1BF74F57" w:rsidR="00567129" w:rsidRDefault="001E58A9" w:rsidP="008F094E">
      <w:pPr>
        <w:spacing w:line="276" w:lineRule="auto"/>
      </w:pPr>
      <w:r>
        <w:t xml:space="preserve">The </w:t>
      </w:r>
      <w:r w:rsidR="0019296E">
        <w:t>process</w:t>
      </w:r>
      <w:r w:rsidR="00A871F4">
        <w:t xml:space="preserve">: </w:t>
      </w:r>
      <w:r w:rsidR="0019296E">
        <w:t>We</w:t>
      </w:r>
      <w:r w:rsidR="00567129">
        <w:t xml:space="preserve"> ran the flow through the Arc unit on a single pass and discharged the fluid to a series of Frac tanks. The discharge fluid completely de-</w:t>
      </w:r>
      <w:r w:rsidR="00784C95">
        <w:t>emulsified</w:t>
      </w:r>
      <w:r w:rsidR="00567129">
        <w:t xml:space="preserve"> and after a </w:t>
      </w:r>
      <w:r w:rsidR="00784C95">
        <w:t>3-day</w:t>
      </w:r>
      <w:r w:rsidR="00567129">
        <w:t xml:space="preserve"> settling period the fluid was sampled and sent to a </w:t>
      </w:r>
      <w:r w:rsidR="00784C95">
        <w:t>third-party</w:t>
      </w:r>
      <w:r w:rsidR="00567129">
        <w:t xml:space="preserve"> laboratory for full testing. </w:t>
      </w:r>
      <w:bookmarkStart w:id="0" w:name="_GoBack"/>
      <w:bookmarkEnd w:id="0"/>
    </w:p>
    <w:p w14:paraId="7C44FD83" w14:textId="7DBE7BE1" w:rsidR="00567129" w:rsidRDefault="00567129" w:rsidP="008F094E">
      <w:pPr>
        <w:spacing w:line="276" w:lineRule="auto"/>
      </w:pPr>
    </w:p>
    <w:p w14:paraId="6545A4C9" w14:textId="2A5157B8" w:rsidR="00B40222" w:rsidRDefault="00567129" w:rsidP="008F094E">
      <w:pPr>
        <w:spacing w:line="276" w:lineRule="auto"/>
      </w:pPr>
      <w:r>
        <w:t>The Resu</w:t>
      </w:r>
      <w:r w:rsidR="00A871F4">
        <w:t>lts:</w:t>
      </w:r>
      <w:r w:rsidR="008F094E">
        <w:t xml:space="preserve"> The results indicated non-</w:t>
      </w:r>
      <w:r>
        <w:t xml:space="preserve">detectable </w:t>
      </w:r>
      <w:r w:rsidR="00784C95">
        <w:t>number</w:t>
      </w:r>
      <w:r>
        <w:t xml:space="preserve"> of hydrocarbons. </w:t>
      </w:r>
    </w:p>
    <w:p w14:paraId="45422B32" w14:textId="16A3EDD1" w:rsidR="008640E0" w:rsidRDefault="008640E0" w:rsidP="008F094E">
      <w:pPr>
        <w:spacing w:line="276" w:lineRule="auto"/>
      </w:pPr>
    </w:p>
    <w:p w14:paraId="29E71962" w14:textId="24A4200F" w:rsidR="008640E0" w:rsidRDefault="00EE33C7" w:rsidP="008F094E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6E96F9" wp14:editId="1D2F6018">
                <wp:simplePos x="0" y="0"/>
                <wp:positionH relativeFrom="column">
                  <wp:posOffset>3618230</wp:posOffset>
                </wp:positionH>
                <wp:positionV relativeFrom="paragraph">
                  <wp:posOffset>477911</wp:posOffset>
                </wp:positionV>
                <wp:extent cx="1293779" cy="398834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3779" cy="3988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C7EAFB" w14:textId="02D1A121" w:rsidR="00EE33C7" w:rsidRPr="00EE33C7" w:rsidRDefault="00EE33C7" w:rsidP="00EE33C7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E33C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TPH: Total Petroleum Hydrocarbons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6E96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4.9pt;margin-top:37.65pt;width:101.85pt;height:3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" filled="f" stroked="f" strokeweight=".5pt">
                <v:textbox>
                  <w:txbxContent>
                    <w:p w14:paraId="60C7EAFB" w14:textId="02D1A121" w:rsidR="00EE33C7" w:rsidRPr="00EE33C7" w:rsidRDefault="00EE33C7" w:rsidP="00EE33C7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EE33C7">
                        <w:rPr>
                          <w:color w:val="FFFFFF" w:themeColor="background1"/>
                          <w:sz w:val="18"/>
                          <w:szCs w:val="18"/>
                        </w:rPr>
                        <w:t>TPH: Total Petroleum Hydrocarbons</w:t>
                      </w:r>
                    </w:p>
                  </w:txbxContent>
                </v:textbox>
              </v:shape>
            </w:pict>
          </mc:Fallback>
        </mc:AlternateContent>
      </w:r>
      <w:r w:rsidR="008640E0">
        <w:rPr>
          <w:noProof/>
        </w:rPr>
        <w:drawing>
          <wp:inline distT="0" distB="0" distL="0" distR="0" wp14:anchorId="29AD3302" wp14:editId="73AE3216">
            <wp:extent cx="5016500" cy="2743200"/>
            <wp:effectExtent l="0" t="0" r="12700" b="1270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A3554E73-C810-484B-99E3-FBAD47834B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5A023CBF" w14:textId="38F954B8" w:rsidR="008640E0" w:rsidRDefault="008640E0" w:rsidP="008F094E">
      <w:pPr>
        <w:spacing w:line="276" w:lineRule="auto"/>
      </w:pPr>
    </w:p>
    <w:p w14:paraId="57D9144B" w14:textId="4E27BA2C" w:rsidR="008F094E" w:rsidRDefault="008640E0" w:rsidP="008F094E">
      <w:pPr>
        <w:spacing w:line="276" w:lineRule="auto"/>
      </w:pPr>
      <w:r>
        <w:t xml:space="preserve">The totality of these tests measured all hydrocarbons present in the original test sample and as proven by the included data, the resulting effect demulsified in excess 99% of the hydrocarbons resulting in the ability to recover the hydrocarbons for resale or reuse and subsequently discharge the </w:t>
      </w:r>
      <w:r w:rsidR="00764F8B">
        <w:t>remaining water to the nearby river</w:t>
      </w:r>
      <w:r w:rsidR="00B3342C">
        <w:t xml:space="preserve"> </w:t>
      </w:r>
      <w:r w:rsidR="00764F8B">
        <w:t>as it now meets the standards outlined by Federal F</w:t>
      </w:r>
      <w:r w:rsidR="00B3342C">
        <w:t>isheries for reintroduction.</w:t>
      </w:r>
    </w:p>
    <w:p w14:paraId="31777542" w14:textId="4EDA2D5B" w:rsidR="008F094E" w:rsidRDefault="008F094E" w:rsidP="008F094E">
      <w:pPr>
        <w:spacing w:line="276" w:lineRule="auto"/>
      </w:pPr>
    </w:p>
    <w:p w14:paraId="0AE93AE5" w14:textId="1CE237E2" w:rsidR="008C0001" w:rsidRDefault="008C0001" w:rsidP="008F094E">
      <w:pPr>
        <w:spacing w:line="276" w:lineRule="auto"/>
      </w:pPr>
    </w:p>
    <w:sectPr w:rsidR="008C0001" w:rsidSect="006745BE">
      <w:head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3D7FC1" w14:textId="77777777" w:rsidR="00C75A7C" w:rsidRDefault="00C75A7C" w:rsidP="008F094E">
      <w:r>
        <w:separator/>
      </w:r>
    </w:p>
  </w:endnote>
  <w:endnote w:type="continuationSeparator" w:id="0">
    <w:p w14:paraId="490D1F56" w14:textId="77777777" w:rsidR="00C75A7C" w:rsidRDefault="00C75A7C" w:rsidP="008F0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5FDC80" w14:textId="77777777" w:rsidR="00C75A7C" w:rsidRDefault="00C75A7C" w:rsidP="008F094E">
      <w:r>
        <w:separator/>
      </w:r>
    </w:p>
  </w:footnote>
  <w:footnote w:type="continuationSeparator" w:id="0">
    <w:p w14:paraId="0B324F93" w14:textId="77777777" w:rsidR="00C75A7C" w:rsidRDefault="00C75A7C" w:rsidP="008F09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AED65A" w14:textId="1D1442C7" w:rsidR="00784C95" w:rsidRDefault="00784C9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5291D4" wp14:editId="19B7E9A3">
              <wp:simplePos x="0" y="0"/>
              <wp:positionH relativeFrom="column">
                <wp:posOffset>2501900</wp:posOffset>
              </wp:positionH>
              <wp:positionV relativeFrom="paragraph">
                <wp:posOffset>363220</wp:posOffset>
              </wp:positionV>
              <wp:extent cx="3276600" cy="77470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76600" cy="774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133FF33" w14:textId="6677C9F6" w:rsidR="00784C95" w:rsidRPr="00D55294" w:rsidRDefault="004E76E4" w:rsidP="004E76E4">
                          <w:pPr>
                            <w:rPr>
                              <w:sz w:val="36"/>
                              <w:szCs w:val="36"/>
                            </w:rPr>
                          </w:pPr>
                          <w:r w:rsidRPr="00D55294">
                            <w:rPr>
                              <w:sz w:val="36"/>
                              <w:szCs w:val="36"/>
                            </w:rPr>
                            <w:t>Testing Information Sheet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5291D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197pt;margin-top:28.6pt;width:258pt;height: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" fillcolor="white [3201]" stroked="f" strokeweight=".5pt">
              <v:textbox>
                <w:txbxContent>
                  <w:p w14:paraId="5133FF33" w14:textId="6677C9F6" w:rsidR="00784C95" w:rsidRPr="00D55294" w:rsidRDefault="004E76E4" w:rsidP="004E76E4">
                    <w:pPr>
                      <w:rPr>
                        <w:sz w:val="36"/>
                        <w:szCs w:val="36"/>
                      </w:rPr>
                    </w:pPr>
                    <w:r w:rsidRPr="00D55294">
                      <w:rPr>
                        <w:sz w:val="36"/>
                        <w:szCs w:val="36"/>
                      </w:rPr>
                      <w:t>Testing Information Sheet</w:t>
                    </w:r>
                  </w:p>
                </w:txbxContent>
              </v:textbox>
            </v:shape>
          </w:pict>
        </mc:Fallback>
      </mc:AlternateContent>
    </w:r>
    <w:r w:rsidRPr="00784C95">
      <w:rPr>
        <w:noProof/>
      </w:rPr>
      <w:drawing>
        <wp:inline distT="0" distB="0" distL="0" distR="0" wp14:anchorId="3D697661" wp14:editId="6627D49B">
          <wp:extent cx="1943100" cy="1269243"/>
          <wp:effectExtent l="0" t="0" r="0" b="127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5888" cy="1284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2E0E91" w14:textId="77777777" w:rsidR="00784C95" w:rsidRDefault="00784C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4F2D64"/>
    <w:multiLevelType w:val="hybridMultilevel"/>
    <w:tmpl w:val="60F4ED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873BFF"/>
    <w:multiLevelType w:val="hybridMultilevel"/>
    <w:tmpl w:val="5904469E"/>
    <w:lvl w:ilvl="0" w:tplc="331066F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B64F60"/>
    <w:multiLevelType w:val="hybridMultilevel"/>
    <w:tmpl w:val="5CF6B5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31366B"/>
    <w:multiLevelType w:val="hybridMultilevel"/>
    <w:tmpl w:val="F52E96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129"/>
    <w:rsid w:val="001274B9"/>
    <w:rsid w:val="0019296E"/>
    <w:rsid w:val="001C7C62"/>
    <w:rsid w:val="001E58A9"/>
    <w:rsid w:val="001E5940"/>
    <w:rsid w:val="00296A33"/>
    <w:rsid w:val="002C2186"/>
    <w:rsid w:val="004115BF"/>
    <w:rsid w:val="00433EC9"/>
    <w:rsid w:val="004E76E4"/>
    <w:rsid w:val="00567129"/>
    <w:rsid w:val="005F72DB"/>
    <w:rsid w:val="006745BE"/>
    <w:rsid w:val="00764F8B"/>
    <w:rsid w:val="00784B91"/>
    <w:rsid w:val="00784C95"/>
    <w:rsid w:val="0084382D"/>
    <w:rsid w:val="008640E0"/>
    <w:rsid w:val="008C0001"/>
    <w:rsid w:val="008F094E"/>
    <w:rsid w:val="008F1E18"/>
    <w:rsid w:val="00994980"/>
    <w:rsid w:val="009D2BAB"/>
    <w:rsid w:val="009F45E8"/>
    <w:rsid w:val="00A47640"/>
    <w:rsid w:val="00A871F4"/>
    <w:rsid w:val="00AC6752"/>
    <w:rsid w:val="00B3342C"/>
    <w:rsid w:val="00B40222"/>
    <w:rsid w:val="00C75A7C"/>
    <w:rsid w:val="00CB3578"/>
    <w:rsid w:val="00D55294"/>
    <w:rsid w:val="00D91645"/>
    <w:rsid w:val="00DB4B25"/>
    <w:rsid w:val="00E100F1"/>
    <w:rsid w:val="00EC5D11"/>
    <w:rsid w:val="00ED3D0C"/>
    <w:rsid w:val="00EE33C7"/>
    <w:rsid w:val="00FA3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637AFC"/>
  <w15:chartTrackingRefBased/>
  <w15:docId w15:val="{61AB09D5-E0EE-F144-A045-3020A1685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712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09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094E"/>
  </w:style>
  <w:style w:type="paragraph" w:styleId="Footer">
    <w:name w:val="footer"/>
    <w:basedOn w:val="Normal"/>
    <w:link w:val="FooterChar"/>
    <w:uiPriority w:val="99"/>
    <w:unhideWhenUsed/>
    <w:rsid w:val="008F09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09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314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/var/folders/gh/by4cky7n67164hv5lx6w8df40000gn/T/com.microsoft.Outlook/Outlook%20Temp/Inland%20reduction%20graph%5b1%5d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bg2">
            <a:lumMod val="75000"/>
            <a:alpha val="27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2784810126582278E-2"/>
          <c:y val="0.16145888013998252"/>
          <c:w val="0.80673995813814414"/>
          <c:h val="0.63405803441236508"/>
        </c:manualLayout>
      </c:layout>
      <c:bar3DChart>
        <c:barDir val="col"/>
        <c:grouping val="standard"/>
        <c:varyColors val="0"/>
        <c:ser>
          <c:idx val="1"/>
          <c:order val="0"/>
          <c:tx>
            <c:v>MWCI Treated</c:v>
          </c:tx>
          <c:spPr>
            <a:solidFill>
              <a:schemeClr val="accent2">
                <a:alpha val="88000"/>
              </a:schemeClr>
            </a:solidFill>
            <a:ln>
              <a:solidFill>
                <a:schemeClr val="accent2">
                  <a:lumMod val="5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flat">
              <a:contourClr>
                <a:schemeClr val="accent2">
                  <a:lumMod val="50000"/>
                </a:schemeClr>
              </a:contourClr>
            </a:sp3d>
          </c:spPr>
          <c:invertIfNegative val="0"/>
          <c:dLbls>
            <c:spPr>
              <a:solidFill>
                <a:schemeClr val="accent2">
                  <a:alpha val="30000"/>
                </a:schemeClr>
              </a:solidFill>
              <a:ln>
                <a:solidFill>
                  <a:schemeClr val="lt1">
                    <a:alpha val="50000"/>
                  </a:schemeClr>
                </a:solidFill>
                <a:round/>
              </a:ln>
              <a:effectLst>
                <a:outerShdw blurRad="63500" dist="889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Sheet1!$A$4:$A$11</c:f>
              <c:strCache>
                <c:ptCount val="8"/>
                <c:pt idx="0">
                  <c:v>TPH (C6-C12)</c:v>
                </c:pt>
                <c:pt idx="1">
                  <c:v>TPH (C28-C35)</c:v>
                </c:pt>
                <c:pt idx="3">
                  <c:v>TPH (C6-C12)</c:v>
                </c:pt>
                <c:pt idx="4">
                  <c:v>TPH (C28-C35)</c:v>
                </c:pt>
                <c:pt idx="6">
                  <c:v>TPH (C6-C12)</c:v>
                </c:pt>
                <c:pt idx="7">
                  <c:v>TPH (C28-C35)</c:v>
                </c:pt>
              </c:strCache>
            </c:strRef>
          </c:cat>
          <c:val>
            <c:numRef>
              <c:f>Sheet1!$C$4:$C$11</c:f>
              <c:numCache>
                <c:formatCode>General</c:formatCode>
                <c:ptCount val="8"/>
                <c:pt idx="0">
                  <c:v>3.43</c:v>
                </c:pt>
                <c:pt idx="1">
                  <c:v>0.5</c:v>
                </c:pt>
                <c:pt idx="3">
                  <c:v>2.99</c:v>
                </c:pt>
                <c:pt idx="4">
                  <c:v>0.5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899-1846-80F6-9DC817A4F50C}"/>
            </c:ext>
          </c:extLst>
        </c:ser>
        <c:ser>
          <c:idx val="0"/>
          <c:order val="1"/>
          <c:tx>
            <c:v>Not Treated</c:v>
          </c:tx>
          <c:spPr>
            <a:solidFill>
              <a:schemeClr val="accent1">
                <a:alpha val="88000"/>
              </a:schemeClr>
            </a:solidFill>
            <a:ln>
              <a:solidFill>
                <a:schemeClr val="accent1">
                  <a:lumMod val="5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flat">
              <a:contourClr>
                <a:schemeClr val="accent1">
                  <a:lumMod val="50000"/>
                </a:schemeClr>
              </a:contourClr>
            </a:sp3d>
          </c:spPr>
          <c:invertIfNegative val="0"/>
          <c:dLbls>
            <c:spPr>
              <a:solidFill>
                <a:schemeClr val="accent1">
                  <a:alpha val="30000"/>
                </a:schemeClr>
              </a:solidFill>
              <a:ln>
                <a:solidFill>
                  <a:schemeClr val="lt1">
                    <a:alpha val="50000"/>
                  </a:schemeClr>
                </a:solidFill>
                <a:round/>
              </a:ln>
              <a:effectLst>
                <a:outerShdw blurRad="63500" dist="889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Sheet1!$A$4:$A$11</c:f>
              <c:strCache>
                <c:ptCount val="8"/>
                <c:pt idx="0">
                  <c:v>TPH (C6-C12)</c:v>
                </c:pt>
                <c:pt idx="1">
                  <c:v>TPH (C28-C35)</c:v>
                </c:pt>
                <c:pt idx="3">
                  <c:v>TPH (C6-C12)</c:v>
                </c:pt>
                <c:pt idx="4">
                  <c:v>TPH (C28-C35)</c:v>
                </c:pt>
                <c:pt idx="6">
                  <c:v>TPH (C6-C12)</c:v>
                </c:pt>
                <c:pt idx="7">
                  <c:v>TPH (C28-C35)</c:v>
                </c:pt>
              </c:strCache>
            </c:strRef>
          </c:cat>
          <c:val>
            <c:numRef>
              <c:f>Sheet1!$B$4:$B$11</c:f>
              <c:numCache>
                <c:formatCode>General</c:formatCode>
                <c:ptCount val="8"/>
                <c:pt idx="0">
                  <c:v>928.46</c:v>
                </c:pt>
                <c:pt idx="1">
                  <c:v>507.38</c:v>
                </c:pt>
                <c:pt idx="3">
                  <c:v>674.89</c:v>
                </c:pt>
                <c:pt idx="4">
                  <c:v>298.89999999999998</c:v>
                </c:pt>
                <c:pt idx="6">
                  <c:v>149.19999999999999</c:v>
                </c:pt>
                <c:pt idx="7">
                  <c:v>69.02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899-1846-80F6-9DC817A4F50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4"/>
        <c:gapDepth val="53"/>
        <c:shape val="box"/>
        <c:axId val="414559248"/>
        <c:axId val="419629392"/>
        <c:axId val="300977904"/>
      </c:bar3DChart>
      <c:catAx>
        <c:axId val="414559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9629392"/>
        <c:crosses val="autoZero"/>
        <c:auto val="1"/>
        <c:lblAlgn val="ctr"/>
        <c:lblOffset val="100"/>
        <c:noMultiLvlLbl val="0"/>
      </c:catAx>
      <c:valAx>
        <c:axId val="41962939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14559248"/>
        <c:crosses val="autoZero"/>
        <c:crossBetween val="between"/>
      </c:valAx>
      <c:serAx>
        <c:axId val="30097790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9629392"/>
        <c:crosses val="autoZero"/>
      </c:ser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dk1">
        <a:lumMod val="75000"/>
        <a:lumOff val="25000"/>
      </a:schemeClr>
    </a:solidFill>
    <a:ln w="6350" cap="flat" cmpd="sng" algn="ctr">
      <a:solidFill>
        <a:schemeClr val="dk1">
          <a:tint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1">
  <cs:axisTitle>
    <cs:lnRef idx="0"/>
    <cs:fillRef idx="0"/>
    <cs:effectRef idx="0"/>
    <cs:fontRef idx="minor">
      <a:schemeClr val="lt1">
        <a:lumMod val="75000"/>
      </a:schemeClr>
    </cs:fontRef>
    <cs:defRPr sz="900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6350" cap="flat" cmpd="sng" algn="ctr">
        <a:solidFill>
          <a:schemeClr val="dk1">
            <a:tint val="75000"/>
          </a:schemeClr>
        </a:solidFill>
        <a:round/>
      </a:ln>
    </cs:spPr>
    <cs:defRPr sz="1000" kern="1200"/>
  </cs:chartArea>
  <cs:dataLabel>
    <cs:lnRef idx="0"/>
    <cs:fillRef idx="0">
      <cs:styleClr val="auto"/>
    </cs:fillRef>
    <cs:effectRef idx="0"/>
    <cs:fontRef idx="minor">
      <a:schemeClr val="lt1"/>
    </cs:fontRef>
    <cs:spPr>
      <a:solidFill>
        <a:schemeClr val="phClr">
          <a:alpha val="30000"/>
        </a:schemeClr>
      </a:solidFill>
      <a:ln>
        <a:solidFill>
          <a:schemeClr val="lt1">
            <a:alpha val="50000"/>
          </a:schemeClr>
        </a:solidFill>
        <a:round/>
      </a:ln>
      <a:effectLst>
        <a:outerShdw blurRad="63500" dist="88900" dir="2700000" algn="tl" rotWithShape="0">
          <a:prstClr val="black">
            <a:alpha val="40000"/>
          </a:prstClr>
        </a:outerShdw>
      </a:effectLst>
    </cs:spPr>
    <cs:defRPr sz="900" b="1" i="0" u="none" strike="noStrike" kern="1200" baseline="0"/>
  </cs:dataLabel>
  <cs:dataLabelCallout>
    <cs:lnRef idx="0"/>
    <cs:fillRef idx="0">
      <cs:styleClr val="auto"/>
    </cs:fillRef>
    <cs:effectRef idx="0"/>
    <cs:fontRef idx="minor">
      <a:schemeClr val="lt1"/>
    </cs:fontRef>
    <cs:spPr>
      <a:solidFill>
        <a:schemeClr val="phClr">
          <a:alpha val="30000"/>
        </a:schemeClr>
      </a:solidFill>
      <a:ln>
        <a:solidFill>
          <a:schemeClr val="lt1">
            <a:alpha val="50000"/>
          </a:schemeClr>
        </a:solidFill>
        <a:round/>
      </a:ln>
      <a:effectLst>
        <a:outerShdw blurRad="63500" dist="88900" dir="2700000" algn="tl" rotWithShape="0">
          <a:prstClr val="black">
            <a:alpha val="40000"/>
          </a:prstClr>
        </a:outerShdw>
      </a:effectLst>
    </cs:spPr>
    <cs:defRPr sz="9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>
          <a:alpha val="88000"/>
        </a:schemeClr>
      </a:solidFill>
      <a:ln>
        <a:solidFill>
          <a:schemeClr val="phClr">
            <a:lumMod val="50000"/>
          </a:schemeClr>
        </a:solidFill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>
          <a:alpha val="88000"/>
        </a:schemeClr>
      </a:solidFill>
      <a:ln>
        <a:solidFill>
          <a:schemeClr val="phClr">
            <a:lumMod val="50000"/>
          </a:schemeClr>
        </a:solidFill>
      </a:ln>
      <a:scene3d>
        <a:camera prst="orthographicFront"/>
        <a:lightRig rig="threePt" dir="t"/>
      </a:scene3d>
      <a:sp3d prstMaterial="flat"/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dk1">
            <a:lumMod val="75000"/>
            <a:lumOff val="25000"/>
          </a:schemeClr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solidFill>
        <a:schemeClr val="bg2">
          <a:lumMod val="75000"/>
          <a:alpha val="27000"/>
        </a:schemeClr>
      </a:solidFill>
      <a:sp3d/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lt1">
            <a:lumMod val="50000"/>
          </a:schemeClr>
        </a:solidFill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lt1">
            <a:lumMod val="40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/>
    </cs:fontRef>
    <cs:defRPr sz="1800" b="0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sp3d/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Elements 2 Sustainable Energy</dc:title>
  <dc:subject/>
  <dc:creator>David Scott</dc:creator>
  <cp:keywords/>
  <dc:description/>
  <cp:lastModifiedBy>Damon Scott</cp:lastModifiedBy>
  <cp:revision>7</cp:revision>
  <cp:lastPrinted>2019-07-03T21:11:00Z</cp:lastPrinted>
  <dcterms:created xsi:type="dcterms:W3CDTF">2019-07-08T17:55:00Z</dcterms:created>
  <dcterms:modified xsi:type="dcterms:W3CDTF">2020-06-01T20:24:00Z</dcterms:modified>
</cp:coreProperties>
</file>